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79B6" w14:textId="77777777" w:rsidR="00140A82" w:rsidRPr="00140A82" w:rsidRDefault="00140A82" w:rsidP="00140A82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140A82">
        <w:rPr>
          <w:rFonts w:ascii="Arial" w:hAnsi="Arial"/>
          <w:b/>
          <w:sz w:val="20"/>
          <w:szCs w:val="20"/>
        </w:rPr>
        <w:t>News Release  //  NEIGHBORING FOOD CO-OP ASSOCIATION  //  Dec 2012 - Jan 2013</w:t>
      </w:r>
    </w:p>
    <w:p w14:paraId="6F77EA52" w14:textId="66653643" w:rsidR="00140A82" w:rsidRPr="00140A82" w:rsidRDefault="00140A82" w:rsidP="00140A82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140A82">
        <w:rPr>
          <w:rFonts w:ascii="Arial" w:hAnsi="Arial"/>
          <w:b/>
          <w:sz w:val="20"/>
          <w:szCs w:val="20"/>
        </w:rPr>
        <w:t>For use in NFCA member co-op newsletters and electronic media.</w:t>
      </w:r>
    </w:p>
    <w:p w14:paraId="13DCCEAF" w14:textId="4839C222" w:rsidR="00166A99" w:rsidRPr="00140A82" w:rsidRDefault="00166A99" w:rsidP="00166A99">
      <w:pPr>
        <w:pBdr>
          <w:bottom w:val="single" w:sz="6" w:space="1" w:color="auto"/>
        </w:pBdr>
        <w:spacing w:before="120"/>
        <w:rPr>
          <w:i/>
          <w:sz w:val="20"/>
          <w:szCs w:val="20"/>
        </w:rPr>
      </w:pPr>
      <w:r w:rsidRPr="00140A82">
        <w:rPr>
          <w:b/>
          <w:sz w:val="20"/>
          <w:szCs w:val="20"/>
        </w:rPr>
        <w:t>NOTE</w:t>
      </w:r>
      <w:r w:rsidRPr="00140A82">
        <w:rPr>
          <w:sz w:val="20"/>
          <w:szCs w:val="20"/>
        </w:rPr>
        <w:t xml:space="preserve">: </w:t>
      </w:r>
      <w:r w:rsidR="00140A82" w:rsidRPr="00140A82">
        <w:rPr>
          <w:i/>
          <w:sz w:val="20"/>
          <w:szCs w:val="20"/>
        </w:rPr>
        <w:t xml:space="preserve">This article is intended to help your co-op raise awareness of the International Year of Co-ops and the International Co-operative Alliance’s “Blueprint for a Co-operative Decade.  </w:t>
      </w:r>
      <w:r w:rsidRPr="00140A82">
        <w:rPr>
          <w:i/>
          <w:sz w:val="20"/>
          <w:szCs w:val="20"/>
        </w:rPr>
        <w:t xml:space="preserve">Please send us </w:t>
      </w:r>
      <w:r w:rsidR="00646398">
        <w:rPr>
          <w:i/>
          <w:sz w:val="20"/>
          <w:szCs w:val="20"/>
        </w:rPr>
        <w:t>a copy of any reprints.</w:t>
      </w:r>
    </w:p>
    <w:p w14:paraId="5431E96C" w14:textId="77777777" w:rsidR="001036E8" w:rsidRPr="00140A82" w:rsidRDefault="001036E8" w:rsidP="001036E8">
      <w:pPr>
        <w:pBdr>
          <w:bottom w:val="single" w:sz="6" w:space="1" w:color="auto"/>
        </w:pBdr>
        <w:rPr>
          <w:i/>
          <w:sz w:val="20"/>
          <w:szCs w:val="20"/>
        </w:rPr>
      </w:pPr>
    </w:p>
    <w:p w14:paraId="38E7C5B3" w14:textId="6384FCF7" w:rsidR="00166A99" w:rsidRPr="00140A82" w:rsidRDefault="00DA2EA7" w:rsidP="00166A9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(578</w:t>
      </w:r>
      <w:r w:rsidR="00166A99" w:rsidRPr="00140A82">
        <w:rPr>
          <w:sz w:val="20"/>
          <w:szCs w:val="20"/>
        </w:rPr>
        <w:t xml:space="preserve"> words)</w:t>
      </w:r>
    </w:p>
    <w:p w14:paraId="67309DDE" w14:textId="46E777B2" w:rsidR="000B2939" w:rsidRPr="00140A82" w:rsidRDefault="00A635FC" w:rsidP="006C452A">
      <w:pPr>
        <w:jc w:val="both"/>
        <w:rPr>
          <w:b/>
          <w:sz w:val="20"/>
          <w:szCs w:val="20"/>
        </w:rPr>
      </w:pPr>
      <w:r w:rsidRPr="00140A82">
        <w:rPr>
          <w:b/>
          <w:sz w:val="20"/>
          <w:szCs w:val="20"/>
        </w:rPr>
        <w:t>From the Year of Co-ops to the Co-operative Decade</w:t>
      </w:r>
    </w:p>
    <w:p w14:paraId="2C06EB4E" w14:textId="207DD685" w:rsidR="00444D1F" w:rsidRPr="00140A82" w:rsidRDefault="00444D1F" w:rsidP="006C452A">
      <w:pPr>
        <w:jc w:val="both"/>
        <w:rPr>
          <w:b/>
          <w:i/>
          <w:sz w:val="20"/>
          <w:szCs w:val="20"/>
        </w:rPr>
      </w:pPr>
      <w:r w:rsidRPr="00140A82">
        <w:rPr>
          <w:b/>
          <w:i/>
          <w:sz w:val="20"/>
          <w:szCs w:val="20"/>
        </w:rPr>
        <w:t>By Erbin Crowell</w:t>
      </w:r>
    </w:p>
    <w:p w14:paraId="6DE8DB75" w14:textId="5502215A" w:rsidR="00A635FC" w:rsidRPr="00140A82" w:rsidRDefault="005676E2" w:rsidP="006C452A">
      <w:pPr>
        <w:spacing w:before="120"/>
        <w:jc w:val="both"/>
        <w:rPr>
          <w:sz w:val="20"/>
          <w:szCs w:val="20"/>
        </w:rPr>
      </w:pPr>
      <w:r w:rsidRPr="00140A82">
        <w:rPr>
          <w:sz w:val="20"/>
          <w:szCs w:val="20"/>
        </w:rPr>
        <w:t>The past</w:t>
      </w:r>
      <w:r w:rsidR="00A635FC" w:rsidRPr="00140A82">
        <w:rPr>
          <w:sz w:val="20"/>
          <w:szCs w:val="20"/>
        </w:rPr>
        <w:t xml:space="preserve"> year </w:t>
      </w:r>
      <w:r w:rsidRPr="00140A82">
        <w:rPr>
          <w:sz w:val="20"/>
          <w:szCs w:val="20"/>
        </w:rPr>
        <w:t>has been</w:t>
      </w:r>
      <w:r w:rsidR="00A635FC" w:rsidRPr="00140A82">
        <w:rPr>
          <w:sz w:val="20"/>
          <w:szCs w:val="20"/>
        </w:rPr>
        <w:t xml:space="preserve"> </w:t>
      </w:r>
      <w:r w:rsidR="009907D9">
        <w:rPr>
          <w:sz w:val="20"/>
          <w:szCs w:val="20"/>
        </w:rPr>
        <w:t>an extraordinary</w:t>
      </w:r>
      <w:r w:rsidR="00A635FC" w:rsidRPr="00140A82">
        <w:rPr>
          <w:sz w:val="20"/>
          <w:szCs w:val="20"/>
        </w:rPr>
        <w:t xml:space="preserve"> </w:t>
      </w:r>
      <w:r w:rsidRPr="00140A82">
        <w:rPr>
          <w:sz w:val="20"/>
          <w:szCs w:val="20"/>
        </w:rPr>
        <w:t>opportunity</w:t>
      </w:r>
      <w:r w:rsidR="00A635FC" w:rsidRPr="00140A82">
        <w:rPr>
          <w:sz w:val="20"/>
          <w:szCs w:val="20"/>
        </w:rPr>
        <w:t xml:space="preserve"> for </w:t>
      </w:r>
      <w:r w:rsidR="0061298A" w:rsidRPr="00140A82">
        <w:rPr>
          <w:sz w:val="20"/>
          <w:szCs w:val="20"/>
        </w:rPr>
        <w:t>our food co-o</w:t>
      </w:r>
      <w:r w:rsidR="009907D9">
        <w:rPr>
          <w:sz w:val="20"/>
          <w:szCs w:val="20"/>
        </w:rPr>
        <w:t>ps</w:t>
      </w:r>
      <w:r w:rsidR="00A635FC" w:rsidRPr="00140A82">
        <w:rPr>
          <w:sz w:val="20"/>
          <w:szCs w:val="20"/>
        </w:rPr>
        <w:t xml:space="preserve">. </w:t>
      </w:r>
      <w:r w:rsidR="00D9646E" w:rsidRPr="00140A82">
        <w:rPr>
          <w:sz w:val="20"/>
          <w:szCs w:val="20"/>
        </w:rPr>
        <w:t>In the context of a devastating</w:t>
      </w:r>
      <w:r w:rsidR="00A635FC" w:rsidRPr="00140A82">
        <w:rPr>
          <w:sz w:val="20"/>
          <w:szCs w:val="20"/>
        </w:rPr>
        <w:t xml:space="preserve"> global recession, co-operative enterprise </w:t>
      </w:r>
      <w:r w:rsidR="000B2939" w:rsidRPr="00140A82">
        <w:rPr>
          <w:sz w:val="20"/>
          <w:szCs w:val="20"/>
        </w:rPr>
        <w:t>has shown</w:t>
      </w:r>
      <w:r w:rsidR="00A635FC" w:rsidRPr="00140A82">
        <w:rPr>
          <w:sz w:val="20"/>
          <w:szCs w:val="20"/>
        </w:rPr>
        <w:t xml:space="preserve"> itself to be a</w:t>
      </w:r>
      <w:r w:rsidR="00444D1F" w:rsidRPr="00140A82">
        <w:rPr>
          <w:sz w:val="20"/>
          <w:szCs w:val="20"/>
        </w:rPr>
        <w:t>n effective and</w:t>
      </w:r>
      <w:r w:rsidR="00166A99" w:rsidRPr="00140A82">
        <w:rPr>
          <w:sz w:val="20"/>
          <w:szCs w:val="20"/>
        </w:rPr>
        <w:t xml:space="preserve"> resilient business model.  </w:t>
      </w:r>
      <w:r w:rsidR="001036E8" w:rsidRPr="00140A82">
        <w:rPr>
          <w:sz w:val="20"/>
          <w:szCs w:val="20"/>
        </w:rPr>
        <w:t xml:space="preserve">When the United Nations </w:t>
      </w:r>
      <w:r w:rsidR="00444D1F" w:rsidRPr="00140A82">
        <w:rPr>
          <w:sz w:val="20"/>
          <w:szCs w:val="20"/>
        </w:rPr>
        <w:t xml:space="preserve">declared 2012 the International Year of Co-ops, it brought unprecedented attention to co-operative enterprise </w:t>
      </w:r>
      <w:r w:rsidR="000E77F7" w:rsidRPr="00140A82">
        <w:rPr>
          <w:sz w:val="20"/>
          <w:szCs w:val="20"/>
        </w:rPr>
        <w:t>as</w:t>
      </w:r>
      <w:r w:rsidR="00444D1F" w:rsidRPr="00140A82">
        <w:rPr>
          <w:sz w:val="20"/>
          <w:szCs w:val="20"/>
        </w:rPr>
        <w:t xml:space="preserve"> an</w:t>
      </w:r>
      <w:r w:rsidR="000E77F7" w:rsidRPr="00140A82">
        <w:rPr>
          <w:sz w:val="20"/>
          <w:szCs w:val="20"/>
        </w:rPr>
        <w:t xml:space="preserve"> effective tool</w:t>
      </w:r>
      <w:r w:rsidRPr="00140A82">
        <w:rPr>
          <w:sz w:val="20"/>
          <w:szCs w:val="20"/>
        </w:rPr>
        <w:t xml:space="preserve"> for poverty reduction</w:t>
      </w:r>
      <w:r w:rsidR="009907D9">
        <w:rPr>
          <w:sz w:val="20"/>
          <w:szCs w:val="20"/>
        </w:rPr>
        <w:t>, employment, participation</w:t>
      </w:r>
      <w:r w:rsidR="000E77F7" w:rsidRPr="00140A82">
        <w:rPr>
          <w:sz w:val="20"/>
          <w:szCs w:val="20"/>
        </w:rPr>
        <w:t xml:space="preserve">, </w:t>
      </w:r>
      <w:r w:rsidR="00F9656E" w:rsidRPr="00140A82">
        <w:rPr>
          <w:sz w:val="20"/>
          <w:szCs w:val="20"/>
        </w:rPr>
        <w:t>and food security</w:t>
      </w:r>
      <w:r w:rsidR="00444D1F" w:rsidRPr="00140A82">
        <w:rPr>
          <w:sz w:val="20"/>
          <w:szCs w:val="20"/>
        </w:rPr>
        <w:t xml:space="preserve"> locally and around the world.</w:t>
      </w:r>
    </w:p>
    <w:p w14:paraId="30A9115E" w14:textId="53EABBAD" w:rsidR="00444D1F" w:rsidRPr="00140A82" w:rsidRDefault="00444D1F" w:rsidP="006C452A">
      <w:pPr>
        <w:spacing w:before="120"/>
        <w:jc w:val="both"/>
        <w:rPr>
          <w:sz w:val="20"/>
          <w:szCs w:val="20"/>
        </w:rPr>
      </w:pPr>
      <w:r w:rsidRPr="00140A82">
        <w:rPr>
          <w:sz w:val="20"/>
          <w:szCs w:val="20"/>
        </w:rPr>
        <w:t>A</w:t>
      </w:r>
      <w:r w:rsidR="00F9656E" w:rsidRPr="00140A82">
        <w:rPr>
          <w:sz w:val="20"/>
          <w:szCs w:val="20"/>
        </w:rPr>
        <w:t>n</w:t>
      </w:r>
      <w:r w:rsidR="0061298A" w:rsidRPr="00140A82">
        <w:rPr>
          <w:sz w:val="20"/>
          <w:szCs w:val="20"/>
        </w:rPr>
        <w:t xml:space="preserve"> important outcome of the Year </w:t>
      </w:r>
      <w:r w:rsidR="009907D9">
        <w:rPr>
          <w:sz w:val="20"/>
          <w:szCs w:val="20"/>
        </w:rPr>
        <w:t>is</w:t>
      </w:r>
      <w:r w:rsidR="0061298A" w:rsidRPr="00140A82">
        <w:rPr>
          <w:sz w:val="20"/>
          <w:szCs w:val="20"/>
        </w:rPr>
        <w:t xml:space="preserve"> </w:t>
      </w:r>
      <w:r w:rsidR="00466FB6" w:rsidRPr="00140A82">
        <w:rPr>
          <w:sz w:val="20"/>
          <w:szCs w:val="20"/>
        </w:rPr>
        <w:t>that</w:t>
      </w:r>
      <w:r w:rsidR="009907D9">
        <w:rPr>
          <w:sz w:val="20"/>
          <w:szCs w:val="20"/>
        </w:rPr>
        <w:t xml:space="preserve"> co-ops</w:t>
      </w:r>
      <w:r w:rsidR="004277DF" w:rsidRPr="00140A82">
        <w:rPr>
          <w:sz w:val="20"/>
          <w:szCs w:val="20"/>
        </w:rPr>
        <w:t xml:space="preserve"> </w:t>
      </w:r>
      <w:r w:rsidR="00466FB6" w:rsidRPr="00140A82">
        <w:rPr>
          <w:sz w:val="20"/>
          <w:szCs w:val="20"/>
        </w:rPr>
        <w:t xml:space="preserve">began </w:t>
      </w:r>
      <w:r w:rsidR="00A635FC" w:rsidRPr="00140A82">
        <w:rPr>
          <w:sz w:val="20"/>
          <w:szCs w:val="20"/>
        </w:rPr>
        <w:t xml:space="preserve">to better understand </w:t>
      </w:r>
      <w:r w:rsidR="00466FB6" w:rsidRPr="00140A82">
        <w:rPr>
          <w:sz w:val="20"/>
          <w:szCs w:val="20"/>
        </w:rPr>
        <w:t xml:space="preserve">our </w:t>
      </w:r>
      <w:r w:rsidR="00762246" w:rsidRPr="00140A82">
        <w:rPr>
          <w:sz w:val="20"/>
          <w:szCs w:val="20"/>
        </w:rPr>
        <w:t xml:space="preserve">shared </w:t>
      </w:r>
      <w:r w:rsidR="001036E8" w:rsidRPr="00140A82">
        <w:rPr>
          <w:sz w:val="20"/>
          <w:szCs w:val="20"/>
        </w:rPr>
        <w:t>impact on the economy</w:t>
      </w:r>
      <w:r w:rsidR="00682299" w:rsidRPr="00140A82">
        <w:rPr>
          <w:sz w:val="20"/>
          <w:szCs w:val="20"/>
        </w:rPr>
        <w:t xml:space="preserve">. </w:t>
      </w:r>
      <w:r w:rsidR="00A5693F" w:rsidRPr="00140A82">
        <w:rPr>
          <w:sz w:val="20"/>
          <w:szCs w:val="20"/>
        </w:rPr>
        <w:t>A</w:t>
      </w:r>
      <w:r w:rsidR="00D9646E" w:rsidRPr="00140A82">
        <w:rPr>
          <w:sz w:val="20"/>
          <w:szCs w:val="20"/>
        </w:rPr>
        <w:t>round the world a billion people are members of co-ops — more than directly own stock in publicly traded corporations</w:t>
      </w:r>
      <w:r w:rsidR="001036E8" w:rsidRPr="00140A82">
        <w:rPr>
          <w:sz w:val="20"/>
          <w:szCs w:val="20"/>
        </w:rPr>
        <w:t xml:space="preserve"> — and here in the US, more than 1 in 4 Americans are members of over 29,000 co</w:t>
      </w:r>
      <w:r w:rsidR="009907D9">
        <w:rPr>
          <w:sz w:val="20"/>
          <w:szCs w:val="20"/>
        </w:rPr>
        <w:t>-operatives</w:t>
      </w:r>
      <w:r w:rsidR="001036E8" w:rsidRPr="00140A82">
        <w:rPr>
          <w:sz w:val="20"/>
          <w:szCs w:val="20"/>
        </w:rPr>
        <w:t xml:space="preserve">. </w:t>
      </w:r>
    </w:p>
    <w:p w14:paraId="13DE8774" w14:textId="15555A22" w:rsidR="00A635FC" w:rsidRPr="00140A82" w:rsidRDefault="00D9646E" w:rsidP="006C452A">
      <w:pPr>
        <w:spacing w:before="120"/>
        <w:jc w:val="both"/>
        <w:rPr>
          <w:sz w:val="20"/>
          <w:szCs w:val="20"/>
        </w:rPr>
      </w:pPr>
      <w:r w:rsidRPr="00140A82">
        <w:rPr>
          <w:sz w:val="20"/>
          <w:szCs w:val="20"/>
        </w:rPr>
        <w:t>A</w:t>
      </w:r>
      <w:r w:rsidR="000B2939" w:rsidRPr="00140A82">
        <w:rPr>
          <w:sz w:val="20"/>
          <w:szCs w:val="20"/>
        </w:rPr>
        <w:t>t its historic General Assembly this past October</w:t>
      </w:r>
      <w:r w:rsidR="004277DF" w:rsidRPr="00140A82">
        <w:rPr>
          <w:sz w:val="20"/>
          <w:szCs w:val="20"/>
        </w:rPr>
        <w:t xml:space="preserve">, the </w:t>
      </w:r>
      <w:r w:rsidR="004F4DED" w:rsidRPr="00140A82">
        <w:rPr>
          <w:sz w:val="20"/>
          <w:szCs w:val="20"/>
        </w:rPr>
        <w:t xml:space="preserve">International </w:t>
      </w:r>
      <w:r w:rsidR="00F9656E" w:rsidRPr="00140A82">
        <w:rPr>
          <w:sz w:val="20"/>
          <w:szCs w:val="20"/>
        </w:rPr>
        <w:t>C</w:t>
      </w:r>
      <w:r w:rsidR="004F4DED" w:rsidRPr="00140A82">
        <w:rPr>
          <w:sz w:val="20"/>
          <w:szCs w:val="20"/>
        </w:rPr>
        <w:t>o-operative Alliance</w:t>
      </w:r>
      <w:r w:rsidR="001036E8" w:rsidRPr="00140A82">
        <w:rPr>
          <w:sz w:val="20"/>
          <w:szCs w:val="20"/>
        </w:rPr>
        <w:t xml:space="preserve"> (ICA)</w:t>
      </w:r>
      <w:r w:rsidR="00F9656E" w:rsidRPr="00140A82">
        <w:rPr>
          <w:sz w:val="20"/>
          <w:szCs w:val="20"/>
        </w:rPr>
        <w:t xml:space="preserve"> </w:t>
      </w:r>
      <w:r w:rsidR="009907D9">
        <w:rPr>
          <w:sz w:val="20"/>
          <w:szCs w:val="20"/>
        </w:rPr>
        <w:t xml:space="preserve">approved </w:t>
      </w:r>
      <w:r w:rsidR="00C56FE7">
        <w:rPr>
          <w:sz w:val="20"/>
          <w:szCs w:val="20"/>
        </w:rPr>
        <w:t>an ambitious vision for the future.</w:t>
      </w:r>
      <w:r w:rsidR="0000378E" w:rsidRPr="00140A82">
        <w:rPr>
          <w:sz w:val="20"/>
          <w:szCs w:val="20"/>
        </w:rPr>
        <w:t xml:space="preserve"> </w:t>
      </w:r>
      <w:r w:rsidR="00C56FE7">
        <w:rPr>
          <w:sz w:val="20"/>
          <w:szCs w:val="20"/>
        </w:rPr>
        <w:t xml:space="preserve">The </w:t>
      </w:r>
      <w:r w:rsidR="004277DF" w:rsidRPr="00140A82">
        <w:rPr>
          <w:sz w:val="20"/>
          <w:szCs w:val="20"/>
        </w:rPr>
        <w:t>“Blue</w:t>
      </w:r>
      <w:r w:rsidR="00A5693F" w:rsidRPr="00140A82">
        <w:rPr>
          <w:sz w:val="20"/>
          <w:szCs w:val="20"/>
        </w:rPr>
        <w:t>pri</w:t>
      </w:r>
      <w:r w:rsidR="009907D9">
        <w:rPr>
          <w:sz w:val="20"/>
          <w:szCs w:val="20"/>
        </w:rPr>
        <w:t xml:space="preserve">nt for a Co-operative Decade” builds </w:t>
      </w:r>
      <w:r w:rsidR="00C56FE7">
        <w:rPr>
          <w:sz w:val="20"/>
          <w:szCs w:val="20"/>
        </w:rPr>
        <w:t xml:space="preserve">on the momentum created by 2012 by promoting co-ops as leaders in social, economic and ecological sustainability.  </w:t>
      </w:r>
      <w:r w:rsidR="004F4DED" w:rsidRPr="00140A82">
        <w:rPr>
          <w:sz w:val="20"/>
          <w:szCs w:val="20"/>
        </w:rPr>
        <w:t>By focusing</w:t>
      </w:r>
      <w:r w:rsidR="00FC04CB" w:rsidRPr="00140A82">
        <w:rPr>
          <w:sz w:val="20"/>
          <w:szCs w:val="20"/>
        </w:rPr>
        <w:t xml:space="preserve"> on </w:t>
      </w:r>
      <w:r w:rsidR="004F4DED" w:rsidRPr="00140A82">
        <w:rPr>
          <w:sz w:val="20"/>
          <w:szCs w:val="20"/>
        </w:rPr>
        <w:t xml:space="preserve">our </w:t>
      </w:r>
      <w:r w:rsidR="00481945" w:rsidRPr="00140A82">
        <w:rPr>
          <w:sz w:val="20"/>
          <w:szCs w:val="20"/>
        </w:rPr>
        <w:t>core co-operative identity, mobilizing member participation a</w:t>
      </w:r>
      <w:r w:rsidR="004F4DED" w:rsidRPr="00140A82">
        <w:rPr>
          <w:sz w:val="20"/>
          <w:szCs w:val="20"/>
        </w:rPr>
        <w:t>nd communicating our difference, the document argues, co-ops can become the fastest growing form of enterprise by 2020.</w:t>
      </w:r>
    </w:p>
    <w:p w14:paraId="7B194F86" w14:textId="651AD71E" w:rsidR="003F7F84" w:rsidRPr="00140A82" w:rsidRDefault="006C452A" w:rsidP="009907D9">
      <w:pPr>
        <w:spacing w:before="120"/>
        <w:jc w:val="both"/>
        <w:rPr>
          <w:sz w:val="20"/>
          <w:szCs w:val="20"/>
        </w:rPr>
      </w:pPr>
      <w:r w:rsidRPr="00140A82">
        <w:rPr>
          <w:sz w:val="20"/>
          <w:szCs w:val="20"/>
        </w:rPr>
        <w:t>Over the past year t</w:t>
      </w:r>
      <w:r w:rsidR="003F7F84" w:rsidRPr="00140A82">
        <w:rPr>
          <w:sz w:val="20"/>
          <w:szCs w:val="20"/>
        </w:rPr>
        <w:t>he Neighboring Food Co-op Association (NFCA)</w:t>
      </w:r>
      <w:r w:rsidRPr="00140A82">
        <w:rPr>
          <w:sz w:val="20"/>
          <w:szCs w:val="20"/>
        </w:rPr>
        <w:t xml:space="preserve">, a network of 30 food co-ops and start-ups in our region, has been making the case for the vital role of food co-ops in </w:t>
      </w:r>
      <w:r w:rsidR="00A56078">
        <w:rPr>
          <w:sz w:val="20"/>
          <w:szCs w:val="20"/>
        </w:rPr>
        <w:t>building sustainable</w:t>
      </w:r>
      <w:r w:rsidRPr="00140A82">
        <w:rPr>
          <w:sz w:val="20"/>
          <w:szCs w:val="20"/>
        </w:rPr>
        <w:t xml:space="preserve"> local economies.  </w:t>
      </w:r>
      <w:r w:rsidR="009907D9">
        <w:rPr>
          <w:sz w:val="20"/>
          <w:szCs w:val="20"/>
        </w:rPr>
        <w:t xml:space="preserve">Locally owned by more than 80,000 members, we </w:t>
      </w:r>
      <w:r w:rsidR="009907D9" w:rsidRPr="00140A82">
        <w:rPr>
          <w:sz w:val="20"/>
          <w:szCs w:val="20"/>
        </w:rPr>
        <w:t>have a powerful impact in our region, e</w:t>
      </w:r>
      <w:r w:rsidR="009907D9">
        <w:rPr>
          <w:sz w:val="20"/>
          <w:szCs w:val="20"/>
        </w:rPr>
        <w:t>mploying more than 1,400 people</w:t>
      </w:r>
      <w:r w:rsidR="009907D9" w:rsidRPr="00140A82">
        <w:rPr>
          <w:sz w:val="20"/>
          <w:szCs w:val="20"/>
        </w:rPr>
        <w:t xml:space="preserve"> and purchasing over $30 million in local products annually.  </w:t>
      </w:r>
      <w:r w:rsidR="00A56078">
        <w:rPr>
          <w:sz w:val="20"/>
          <w:szCs w:val="20"/>
        </w:rPr>
        <w:t>W</w:t>
      </w:r>
      <w:r w:rsidR="003F7F84" w:rsidRPr="00140A82">
        <w:rPr>
          <w:sz w:val="20"/>
          <w:szCs w:val="20"/>
        </w:rPr>
        <w:t xml:space="preserve">e </w:t>
      </w:r>
      <w:r w:rsidR="00A5693F" w:rsidRPr="00140A82">
        <w:rPr>
          <w:sz w:val="20"/>
          <w:szCs w:val="20"/>
        </w:rPr>
        <w:t>have</w:t>
      </w:r>
      <w:r w:rsidR="00A56078">
        <w:rPr>
          <w:sz w:val="20"/>
          <w:szCs w:val="20"/>
        </w:rPr>
        <w:t xml:space="preserve"> also</w:t>
      </w:r>
      <w:r w:rsidR="00A5693F" w:rsidRPr="00140A82">
        <w:rPr>
          <w:sz w:val="20"/>
          <w:szCs w:val="20"/>
        </w:rPr>
        <w:t xml:space="preserve"> worked with farmer co-ops, worker co-ops and credit unions to help</w:t>
      </w:r>
      <w:r w:rsidR="003F7F84" w:rsidRPr="00140A82">
        <w:rPr>
          <w:sz w:val="20"/>
          <w:szCs w:val="20"/>
        </w:rPr>
        <w:t xml:space="preserve"> people understand how </w:t>
      </w:r>
      <w:r w:rsidR="001230E5" w:rsidRPr="00140A82">
        <w:rPr>
          <w:sz w:val="20"/>
          <w:szCs w:val="20"/>
        </w:rPr>
        <w:t>our business</w:t>
      </w:r>
      <w:r w:rsidR="003F7F84" w:rsidRPr="00140A82">
        <w:rPr>
          <w:sz w:val="20"/>
          <w:szCs w:val="20"/>
        </w:rPr>
        <w:t xml:space="preserve"> model is </w:t>
      </w:r>
      <w:r w:rsidR="00444D1F" w:rsidRPr="00140A82">
        <w:rPr>
          <w:sz w:val="20"/>
          <w:szCs w:val="20"/>
        </w:rPr>
        <w:t xml:space="preserve">relevant not just in food retailing but in all aspects of </w:t>
      </w:r>
      <w:r w:rsidR="004F4DED" w:rsidRPr="00140A82">
        <w:rPr>
          <w:sz w:val="20"/>
          <w:szCs w:val="20"/>
        </w:rPr>
        <w:t>their</w:t>
      </w:r>
      <w:r w:rsidR="00444D1F" w:rsidRPr="00140A82">
        <w:rPr>
          <w:sz w:val="20"/>
          <w:szCs w:val="20"/>
        </w:rPr>
        <w:t xml:space="preserve"> lives, whether as consumers, producers or workers</w:t>
      </w:r>
      <w:r w:rsidR="009907D9">
        <w:rPr>
          <w:sz w:val="20"/>
          <w:szCs w:val="20"/>
        </w:rPr>
        <w:t xml:space="preserve">.  </w:t>
      </w:r>
      <w:r w:rsidR="00A56078">
        <w:rPr>
          <w:sz w:val="20"/>
          <w:szCs w:val="20"/>
        </w:rPr>
        <w:t>By putting people before profit, co-ops are able to think beyond the bottom line and invest in the future of our communities.</w:t>
      </w:r>
    </w:p>
    <w:p w14:paraId="7B42B896" w14:textId="29C5DDCC" w:rsidR="003535BC" w:rsidRPr="00140A82" w:rsidRDefault="00A56078" w:rsidP="006C452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In New England and New York alone</w:t>
      </w:r>
      <w:r w:rsidR="006C452A" w:rsidRPr="00140A82">
        <w:rPr>
          <w:sz w:val="20"/>
          <w:szCs w:val="20"/>
        </w:rPr>
        <w:t xml:space="preserve"> there are </w:t>
      </w:r>
      <w:r>
        <w:rPr>
          <w:sz w:val="20"/>
          <w:szCs w:val="20"/>
        </w:rPr>
        <w:t xml:space="preserve">nearly 9,000 co-ops with </w:t>
      </w:r>
      <w:r w:rsidRPr="00140A82">
        <w:rPr>
          <w:sz w:val="20"/>
          <w:szCs w:val="20"/>
        </w:rPr>
        <w:t>9.5 million</w:t>
      </w:r>
      <w:r>
        <w:rPr>
          <w:sz w:val="20"/>
          <w:szCs w:val="20"/>
        </w:rPr>
        <w:t xml:space="preserve"> members</w:t>
      </w:r>
      <w:r w:rsidR="006C452A" w:rsidRPr="00140A82">
        <w:rPr>
          <w:sz w:val="20"/>
          <w:szCs w:val="20"/>
        </w:rPr>
        <w:t xml:space="preserve">.  What could we accomplish if even a small portion of us came together around a shared </w:t>
      </w:r>
      <w:r>
        <w:rPr>
          <w:sz w:val="20"/>
          <w:szCs w:val="20"/>
        </w:rPr>
        <w:t>vision for the future</w:t>
      </w:r>
      <w:r w:rsidR="006C452A" w:rsidRPr="00140A82">
        <w:rPr>
          <w:sz w:val="20"/>
          <w:szCs w:val="20"/>
        </w:rPr>
        <w:t xml:space="preserve">?  </w:t>
      </w:r>
      <w:r w:rsidR="003535BC" w:rsidRPr="00140A82">
        <w:rPr>
          <w:sz w:val="20"/>
          <w:szCs w:val="20"/>
        </w:rPr>
        <w:t>To achieve the ICA’s vision of becoming the fastest growing business model by 202</w:t>
      </w:r>
      <w:r w:rsidR="006C452A" w:rsidRPr="00140A82">
        <w:rPr>
          <w:sz w:val="20"/>
          <w:szCs w:val="20"/>
        </w:rPr>
        <w:t>0, we will need to move beyond rhetoric</w:t>
      </w:r>
      <w:r w:rsidR="003535BC" w:rsidRPr="00140A82">
        <w:rPr>
          <w:sz w:val="20"/>
          <w:szCs w:val="20"/>
        </w:rPr>
        <w:t xml:space="preserve"> </w:t>
      </w:r>
      <w:r w:rsidR="00762246" w:rsidRPr="00140A82">
        <w:rPr>
          <w:sz w:val="20"/>
          <w:szCs w:val="20"/>
        </w:rPr>
        <w:t>of</w:t>
      </w:r>
      <w:r w:rsidR="00D9646E" w:rsidRPr="00140A82">
        <w:rPr>
          <w:sz w:val="20"/>
          <w:szCs w:val="20"/>
        </w:rPr>
        <w:t xml:space="preserve"> “cooperation</w:t>
      </w:r>
      <w:r w:rsidR="003535BC" w:rsidRPr="00140A82">
        <w:rPr>
          <w:sz w:val="20"/>
          <w:szCs w:val="20"/>
        </w:rPr>
        <w:t xml:space="preserve"> amo</w:t>
      </w:r>
      <w:r w:rsidR="00762246" w:rsidRPr="00140A82">
        <w:rPr>
          <w:sz w:val="20"/>
          <w:szCs w:val="20"/>
        </w:rPr>
        <w:t>ng co-op</w:t>
      </w:r>
      <w:r w:rsidR="00D9646E" w:rsidRPr="00140A82">
        <w:rPr>
          <w:sz w:val="20"/>
          <w:szCs w:val="20"/>
        </w:rPr>
        <w:t>s”</w:t>
      </w:r>
      <w:r w:rsidR="003535BC" w:rsidRPr="00140A82">
        <w:rPr>
          <w:sz w:val="20"/>
          <w:szCs w:val="20"/>
        </w:rPr>
        <w:t xml:space="preserve"> to </w:t>
      </w:r>
      <w:r w:rsidR="00953A27" w:rsidRPr="00140A82">
        <w:rPr>
          <w:sz w:val="20"/>
          <w:szCs w:val="20"/>
        </w:rPr>
        <w:t>polici</w:t>
      </w:r>
      <w:r w:rsidR="00D9646E" w:rsidRPr="00140A82">
        <w:rPr>
          <w:sz w:val="20"/>
          <w:szCs w:val="20"/>
        </w:rPr>
        <w:t xml:space="preserve">es that </w:t>
      </w:r>
      <w:r>
        <w:rPr>
          <w:sz w:val="20"/>
          <w:szCs w:val="20"/>
        </w:rPr>
        <w:t>put this ideal into action, prioritizing</w:t>
      </w:r>
      <w:r w:rsidR="00D9646E" w:rsidRPr="00140A82">
        <w:rPr>
          <w:sz w:val="20"/>
          <w:szCs w:val="20"/>
        </w:rPr>
        <w:t xml:space="preserve"> the purchase of goods and services from one another</w:t>
      </w:r>
      <w:r w:rsidR="00762246" w:rsidRPr="00140A82">
        <w:rPr>
          <w:sz w:val="20"/>
          <w:szCs w:val="20"/>
        </w:rPr>
        <w:t xml:space="preserve">, </w:t>
      </w:r>
      <w:r w:rsidR="00D9646E" w:rsidRPr="00140A82">
        <w:rPr>
          <w:sz w:val="20"/>
          <w:szCs w:val="20"/>
        </w:rPr>
        <w:t xml:space="preserve">mutual </w:t>
      </w:r>
      <w:r w:rsidR="00762246" w:rsidRPr="00140A82">
        <w:rPr>
          <w:sz w:val="20"/>
          <w:szCs w:val="20"/>
        </w:rPr>
        <w:t>investment</w:t>
      </w:r>
      <w:r w:rsidR="00166A99" w:rsidRPr="00140A82">
        <w:rPr>
          <w:sz w:val="20"/>
          <w:szCs w:val="20"/>
        </w:rPr>
        <w:t xml:space="preserve"> in development</w:t>
      </w:r>
      <w:r w:rsidR="00953A27" w:rsidRPr="00140A82">
        <w:rPr>
          <w:sz w:val="20"/>
          <w:szCs w:val="20"/>
        </w:rPr>
        <w:t xml:space="preserve"> and collaboration</w:t>
      </w:r>
      <w:r w:rsidR="00762246" w:rsidRPr="00140A82">
        <w:rPr>
          <w:sz w:val="20"/>
          <w:szCs w:val="20"/>
        </w:rPr>
        <w:t xml:space="preserve"> on </w:t>
      </w:r>
      <w:r w:rsidR="00D9646E" w:rsidRPr="00140A82">
        <w:rPr>
          <w:sz w:val="20"/>
          <w:szCs w:val="20"/>
        </w:rPr>
        <w:t>legislation</w:t>
      </w:r>
      <w:r w:rsidR="00C76980" w:rsidRPr="00140A82">
        <w:rPr>
          <w:sz w:val="20"/>
          <w:szCs w:val="20"/>
        </w:rPr>
        <w:t xml:space="preserve">.  </w:t>
      </w:r>
      <w:r w:rsidR="00833777" w:rsidRPr="00140A82">
        <w:rPr>
          <w:sz w:val="20"/>
          <w:szCs w:val="20"/>
        </w:rPr>
        <w:t xml:space="preserve">Working together is not </w:t>
      </w:r>
      <w:r w:rsidR="006C452A" w:rsidRPr="00140A82">
        <w:rPr>
          <w:sz w:val="20"/>
          <w:szCs w:val="20"/>
        </w:rPr>
        <w:t>only</w:t>
      </w:r>
      <w:r w:rsidR="00833777" w:rsidRPr="00140A82">
        <w:rPr>
          <w:sz w:val="20"/>
          <w:szCs w:val="20"/>
        </w:rPr>
        <w:t xml:space="preserve"> the right thing to do; it also makes business sense.  </w:t>
      </w:r>
      <w:r w:rsidR="00A5693F" w:rsidRPr="00140A82">
        <w:rPr>
          <w:sz w:val="20"/>
          <w:szCs w:val="20"/>
        </w:rPr>
        <w:t>In doing so</w:t>
      </w:r>
      <w:r w:rsidR="00C76980" w:rsidRPr="00140A82">
        <w:rPr>
          <w:sz w:val="20"/>
          <w:szCs w:val="20"/>
        </w:rPr>
        <w:t xml:space="preserve">, we raise the profile of </w:t>
      </w:r>
      <w:r w:rsidR="00833777" w:rsidRPr="00140A82">
        <w:rPr>
          <w:sz w:val="20"/>
          <w:szCs w:val="20"/>
        </w:rPr>
        <w:t xml:space="preserve">our </w:t>
      </w:r>
      <w:r w:rsidR="00C76980" w:rsidRPr="00140A82">
        <w:rPr>
          <w:sz w:val="20"/>
          <w:szCs w:val="20"/>
        </w:rPr>
        <w:t xml:space="preserve">co-ops </w:t>
      </w:r>
      <w:r w:rsidR="00833777" w:rsidRPr="00140A82">
        <w:rPr>
          <w:sz w:val="20"/>
          <w:szCs w:val="20"/>
        </w:rPr>
        <w:t xml:space="preserve">and reinforce our relevance in a </w:t>
      </w:r>
      <w:r w:rsidR="00A5693F" w:rsidRPr="00140A82">
        <w:rPr>
          <w:sz w:val="20"/>
          <w:szCs w:val="20"/>
        </w:rPr>
        <w:t>challenging</w:t>
      </w:r>
      <w:r w:rsidR="00833777" w:rsidRPr="00140A82">
        <w:rPr>
          <w:sz w:val="20"/>
          <w:szCs w:val="20"/>
        </w:rPr>
        <w:t xml:space="preserve"> economy</w:t>
      </w:r>
      <w:r w:rsidR="00C76980" w:rsidRPr="00140A82">
        <w:rPr>
          <w:sz w:val="20"/>
          <w:szCs w:val="20"/>
        </w:rPr>
        <w:t xml:space="preserve">.  </w:t>
      </w:r>
      <w:r w:rsidR="00D130A5" w:rsidRPr="00140A82">
        <w:rPr>
          <w:sz w:val="20"/>
          <w:szCs w:val="20"/>
        </w:rPr>
        <w:t>We strengthen</w:t>
      </w:r>
      <w:r w:rsidR="00A5693F" w:rsidRPr="00140A82">
        <w:rPr>
          <w:sz w:val="20"/>
          <w:szCs w:val="20"/>
        </w:rPr>
        <w:t xml:space="preserve"> our success and our </w:t>
      </w:r>
      <w:r w:rsidR="00C76980" w:rsidRPr="00140A82">
        <w:rPr>
          <w:sz w:val="20"/>
          <w:szCs w:val="20"/>
        </w:rPr>
        <w:t>ability to serve our members</w:t>
      </w:r>
      <w:r w:rsidR="00833777" w:rsidRPr="00140A82">
        <w:rPr>
          <w:sz w:val="20"/>
          <w:szCs w:val="20"/>
        </w:rPr>
        <w:t xml:space="preserve"> in more aspects of their lives</w:t>
      </w:r>
      <w:r w:rsidR="00A5693F" w:rsidRPr="00140A82">
        <w:rPr>
          <w:sz w:val="20"/>
          <w:szCs w:val="20"/>
        </w:rPr>
        <w:t xml:space="preserve">.  And we </w:t>
      </w:r>
      <w:r w:rsidR="00D130A5" w:rsidRPr="00140A82">
        <w:rPr>
          <w:sz w:val="20"/>
          <w:szCs w:val="20"/>
        </w:rPr>
        <w:t xml:space="preserve">shift the dialog on </w:t>
      </w:r>
      <w:r w:rsidR="00A2605E" w:rsidRPr="00140A82">
        <w:rPr>
          <w:sz w:val="20"/>
          <w:szCs w:val="20"/>
        </w:rPr>
        <w:t xml:space="preserve">government </w:t>
      </w:r>
      <w:r w:rsidR="00D130A5" w:rsidRPr="00140A82">
        <w:rPr>
          <w:sz w:val="20"/>
          <w:szCs w:val="20"/>
        </w:rPr>
        <w:t>policies that affect</w:t>
      </w:r>
      <w:r w:rsidR="00A2605E" w:rsidRPr="00140A82">
        <w:rPr>
          <w:sz w:val="20"/>
          <w:szCs w:val="20"/>
        </w:rPr>
        <w:t xml:space="preserve"> our ability to grow and help more people help themselves</w:t>
      </w:r>
      <w:r>
        <w:rPr>
          <w:sz w:val="20"/>
          <w:szCs w:val="20"/>
        </w:rPr>
        <w:t xml:space="preserve"> and their communities</w:t>
      </w:r>
      <w:r w:rsidR="00D130A5" w:rsidRPr="00140A82">
        <w:rPr>
          <w:sz w:val="20"/>
          <w:szCs w:val="20"/>
        </w:rPr>
        <w:t>.</w:t>
      </w:r>
      <w:r w:rsidR="00953A27" w:rsidRPr="00140A82">
        <w:rPr>
          <w:sz w:val="20"/>
          <w:szCs w:val="20"/>
        </w:rPr>
        <w:t xml:space="preserve"> </w:t>
      </w:r>
    </w:p>
    <w:p w14:paraId="41AFF64B" w14:textId="7ACBE9A6" w:rsidR="0000378E" w:rsidRPr="00140A82" w:rsidRDefault="00A2605E" w:rsidP="006C452A">
      <w:pPr>
        <w:spacing w:before="120"/>
        <w:jc w:val="both"/>
        <w:rPr>
          <w:sz w:val="20"/>
          <w:szCs w:val="20"/>
        </w:rPr>
      </w:pPr>
      <w:r w:rsidRPr="00140A82">
        <w:rPr>
          <w:sz w:val="20"/>
          <w:szCs w:val="20"/>
        </w:rPr>
        <w:t xml:space="preserve">The </w:t>
      </w:r>
      <w:r w:rsidR="001230E5" w:rsidRPr="00140A82">
        <w:rPr>
          <w:sz w:val="20"/>
          <w:szCs w:val="20"/>
        </w:rPr>
        <w:t>International</w:t>
      </w:r>
      <w:r w:rsidR="00D05682" w:rsidRPr="00140A82">
        <w:rPr>
          <w:sz w:val="20"/>
          <w:szCs w:val="20"/>
        </w:rPr>
        <w:t xml:space="preserve"> Year of Co-ops </w:t>
      </w:r>
      <w:r w:rsidR="001230E5" w:rsidRPr="00140A82">
        <w:rPr>
          <w:sz w:val="20"/>
          <w:szCs w:val="20"/>
        </w:rPr>
        <w:t xml:space="preserve">was an </w:t>
      </w:r>
      <w:r w:rsidR="00DA2EA7">
        <w:rPr>
          <w:sz w:val="20"/>
          <w:szCs w:val="20"/>
        </w:rPr>
        <w:t xml:space="preserve">important </w:t>
      </w:r>
      <w:r w:rsidR="001230E5" w:rsidRPr="00140A82">
        <w:rPr>
          <w:sz w:val="20"/>
          <w:szCs w:val="20"/>
        </w:rPr>
        <w:t xml:space="preserve">opportunity </w:t>
      </w:r>
      <w:r w:rsidRPr="00140A82">
        <w:rPr>
          <w:sz w:val="20"/>
          <w:szCs w:val="20"/>
        </w:rPr>
        <w:t xml:space="preserve">for co-ops </w:t>
      </w:r>
      <w:r w:rsidR="001230E5" w:rsidRPr="00140A82">
        <w:rPr>
          <w:sz w:val="20"/>
          <w:szCs w:val="20"/>
        </w:rPr>
        <w:t xml:space="preserve">to </w:t>
      </w:r>
      <w:r w:rsidR="00A65981" w:rsidRPr="00140A82">
        <w:rPr>
          <w:sz w:val="20"/>
          <w:szCs w:val="20"/>
        </w:rPr>
        <w:t>tell our story to millions of people</w:t>
      </w:r>
      <w:r w:rsidR="00B8426D" w:rsidRPr="00140A82">
        <w:rPr>
          <w:sz w:val="20"/>
          <w:szCs w:val="20"/>
        </w:rPr>
        <w:t xml:space="preserve"> hungry for </w:t>
      </w:r>
      <w:r w:rsidR="00A65981" w:rsidRPr="00140A82">
        <w:rPr>
          <w:sz w:val="20"/>
          <w:szCs w:val="20"/>
        </w:rPr>
        <w:t>an alternative to business as usual</w:t>
      </w:r>
      <w:r w:rsidR="00354A22" w:rsidRPr="00140A82">
        <w:rPr>
          <w:sz w:val="20"/>
          <w:szCs w:val="20"/>
        </w:rPr>
        <w:t>.  T</w:t>
      </w:r>
      <w:r w:rsidR="001230E5" w:rsidRPr="00140A82">
        <w:rPr>
          <w:sz w:val="20"/>
          <w:szCs w:val="20"/>
        </w:rPr>
        <w:t xml:space="preserve">he Co-operative Decade </w:t>
      </w:r>
      <w:r w:rsidR="00354A22" w:rsidRPr="00140A82">
        <w:rPr>
          <w:sz w:val="20"/>
          <w:szCs w:val="20"/>
        </w:rPr>
        <w:t>is</w:t>
      </w:r>
      <w:r w:rsidR="001230E5" w:rsidRPr="00140A82">
        <w:rPr>
          <w:sz w:val="20"/>
          <w:szCs w:val="20"/>
        </w:rPr>
        <w:t xml:space="preserve"> our chance to demonstrate the potential of our movement</w:t>
      </w:r>
      <w:r w:rsidR="00971B72" w:rsidRPr="00140A82">
        <w:rPr>
          <w:sz w:val="20"/>
          <w:szCs w:val="20"/>
        </w:rPr>
        <w:t xml:space="preserve"> </w:t>
      </w:r>
      <w:r w:rsidR="00DA2EA7">
        <w:rPr>
          <w:sz w:val="20"/>
          <w:szCs w:val="20"/>
        </w:rPr>
        <w:t xml:space="preserve">and </w:t>
      </w:r>
      <w:r w:rsidR="00971B72" w:rsidRPr="00140A82">
        <w:rPr>
          <w:sz w:val="20"/>
          <w:szCs w:val="20"/>
        </w:rPr>
        <w:t xml:space="preserve">to build </w:t>
      </w:r>
      <w:r w:rsidR="00DA2EA7">
        <w:rPr>
          <w:sz w:val="20"/>
          <w:szCs w:val="20"/>
        </w:rPr>
        <w:t xml:space="preserve">a </w:t>
      </w:r>
      <w:r w:rsidR="00971B72" w:rsidRPr="00140A82">
        <w:rPr>
          <w:sz w:val="20"/>
          <w:szCs w:val="20"/>
        </w:rPr>
        <w:t xml:space="preserve">more </w:t>
      </w:r>
      <w:r w:rsidRPr="00140A82">
        <w:rPr>
          <w:sz w:val="20"/>
          <w:szCs w:val="20"/>
        </w:rPr>
        <w:t>just</w:t>
      </w:r>
      <w:r w:rsidR="00971B72" w:rsidRPr="00140A82">
        <w:rPr>
          <w:sz w:val="20"/>
          <w:szCs w:val="20"/>
        </w:rPr>
        <w:t>, resili</w:t>
      </w:r>
      <w:r w:rsidR="00DA2EA7">
        <w:rPr>
          <w:sz w:val="20"/>
          <w:szCs w:val="20"/>
        </w:rPr>
        <w:t>ent and sustainable food system and economy at home and around the world</w:t>
      </w:r>
      <w:r w:rsidR="00971B72" w:rsidRPr="00140A82">
        <w:rPr>
          <w:sz w:val="20"/>
          <w:szCs w:val="20"/>
        </w:rPr>
        <w:t>.</w:t>
      </w:r>
      <w:r w:rsidR="004F4DED" w:rsidRPr="00140A82">
        <w:rPr>
          <w:sz w:val="20"/>
          <w:szCs w:val="20"/>
        </w:rPr>
        <w:t xml:space="preserve">  </w:t>
      </w:r>
    </w:p>
    <w:p w14:paraId="0FB09A54" w14:textId="68CE70E6" w:rsidR="001230E5" w:rsidRPr="00140A82" w:rsidRDefault="00FC04CB" w:rsidP="006C452A">
      <w:pPr>
        <w:spacing w:before="120"/>
        <w:jc w:val="both"/>
        <w:rPr>
          <w:i/>
          <w:sz w:val="20"/>
          <w:szCs w:val="20"/>
        </w:rPr>
      </w:pPr>
      <w:r w:rsidRPr="00140A82">
        <w:rPr>
          <w:i/>
          <w:sz w:val="20"/>
          <w:szCs w:val="20"/>
        </w:rPr>
        <w:t>Erbin Crowell is Executive Director of the Neighb</w:t>
      </w:r>
      <w:r w:rsidR="00D9646E" w:rsidRPr="00140A82">
        <w:rPr>
          <w:i/>
          <w:sz w:val="20"/>
          <w:szCs w:val="20"/>
        </w:rPr>
        <w:t>oring Food Co-op Association</w:t>
      </w:r>
      <w:r w:rsidRPr="00140A82">
        <w:rPr>
          <w:i/>
          <w:sz w:val="20"/>
          <w:szCs w:val="20"/>
        </w:rPr>
        <w:t xml:space="preserve"> (</w:t>
      </w:r>
      <w:hyperlink r:id="rId8" w:history="1">
        <w:r w:rsidR="00D9646E" w:rsidRPr="00140A82">
          <w:rPr>
            <w:rStyle w:val="Hyperlink"/>
            <w:i/>
            <w:sz w:val="20"/>
            <w:szCs w:val="20"/>
          </w:rPr>
          <w:t>www.nfca.coop</w:t>
        </w:r>
      </w:hyperlink>
      <w:r w:rsidRPr="00140A82">
        <w:rPr>
          <w:i/>
          <w:sz w:val="20"/>
          <w:szCs w:val="20"/>
        </w:rPr>
        <w:t>)</w:t>
      </w:r>
      <w:r w:rsidR="00D9646E" w:rsidRPr="00140A82">
        <w:rPr>
          <w:i/>
          <w:sz w:val="20"/>
          <w:szCs w:val="20"/>
        </w:rPr>
        <w:t xml:space="preserve"> and serves on the board of the National Cooperative Business Association.</w:t>
      </w:r>
    </w:p>
    <w:p w14:paraId="00070067" w14:textId="51C47EEF" w:rsidR="00011D9B" w:rsidRDefault="00011D9B" w:rsidP="00011D9B">
      <w:pPr>
        <w:spacing w:before="120"/>
        <w:jc w:val="center"/>
        <w:rPr>
          <w:sz w:val="20"/>
          <w:szCs w:val="20"/>
        </w:rPr>
      </w:pPr>
      <w:r w:rsidRPr="00140A82">
        <w:rPr>
          <w:sz w:val="20"/>
          <w:szCs w:val="20"/>
        </w:rPr>
        <w:t>### END ###</w:t>
      </w:r>
    </w:p>
    <w:p w14:paraId="297044A7" w14:textId="77777777" w:rsidR="00812F19" w:rsidRDefault="00812F19" w:rsidP="00011D9B">
      <w:pPr>
        <w:spacing w:before="120"/>
        <w:jc w:val="center"/>
        <w:rPr>
          <w:sz w:val="20"/>
          <w:szCs w:val="20"/>
        </w:rPr>
      </w:pPr>
    </w:p>
    <w:p w14:paraId="3A689FD8" w14:textId="77777777" w:rsidR="00812F19" w:rsidRDefault="00812F19" w:rsidP="00812F1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For Images to use with this story, see page 2.</w:t>
      </w:r>
    </w:p>
    <w:p w14:paraId="5306794F" w14:textId="5AC8FAA2" w:rsidR="00812F19" w:rsidRDefault="00812F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43F888" w14:textId="58DE0A51" w:rsidR="00812F19" w:rsidRDefault="00812F19" w:rsidP="00011D9B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IMAGES FOR USE WITH STORY</w:t>
      </w:r>
    </w:p>
    <w:p w14:paraId="29A277E3" w14:textId="77777777" w:rsidR="00812F19" w:rsidRDefault="00812F19" w:rsidP="00011D9B">
      <w:pPr>
        <w:spacing w:before="120"/>
        <w:jc w:val="center"/>
        <w:rPr>
          <w:sz w:val="20"/>
          <w:szCs w:val="20"/>
        </w:rPr>
      </w:pPr>
    </w:p>
    <w:p w14:paraId="53EA672E" w14:textId="77777777" w:rsidR="00DD66D2" w:rsidRDefault="00DD66D2" w:rsidP="00011D9B">
      <w:pPr>
        <w:spacing w:before="120"/>
        <w:jc w:val="center"/>
        <w:rPr>
          <w:sz w:val="20"/>
          <w:szCs w:val="20"/>
        </w:rPr>
      </w:pPr>
    </w:p>
    <w:p w14:paraId="6285372F" w14:textId="77777777" w:rsidR="00DD66D2" w:rsidRDefault="00DD66D2" w:rsidP="00011D9B">
      <w:pPr>
        <w:spacing w:before="120"/>
        <w:jc w:val="center"/>
        <w:rPr>
          <w:sz w:val="20"/>
          <w:szCs w:val="20"/>
        </w:rPr>
      </w:pPr>
    </w:p>
    <w:p w14:paraId="593EB0DF" w14:textId="05F40193" w:rsidR="00812F19" w:rsidRDefault="00812F19" w:rsidP="00011D9B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CED1793" wp14:editId="33C1AF1F">
            <wp:extent cx="3641906" cy="18209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print-m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06" cy="182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C20E" w14:textId="77777777" w:rsidR="00DD66D2" w:rsidRDefault="00DD66D2" w:rsidP="00011D9B">
      <w:pPr>
        <w:spacing w:before="120"/>
        <w:jc w:val="center"/>
        <w:rPr>
          <w:sz w:val="20"/>
          <w:szCs w:val="20"/>
        </w:rPr>
      </w:pPr>
    </w:p>
    <w:p w14:paraId="73064DFA" w14:textId="77777777" w:rsidR="00DD66D2" w:rsidRDefault="00DD66D2" w:rsidP="00011D9B">
      <w:pPr>
        <w:spacing w:before="120"/>
        <w:jc w:val="center"/>
        <w:rPr>
          <w:sz w:val="20"/>
          <w:szCs w:val="20"/>
        </w:rPr>
      </w:pPr>
    </w:p>
    <w:p w14:paraId="28680464" w14:textId="77777777" w:rsidR="00812F19" w:rsidRDefault="00812F19" w:rsidP="00011D9B">
      <w:pPr>
        <w:spacing w:before="120"/>
        <w:jc w:val="center"/>
        <w:rPr>
          <w:sz w:val="20"/>
          <w:szCs w:val="20"/>
        </w:rPr>
      </w:pPr>
    </w:p>
    <w:p w14:paraId="397D38C9" w14:textId="4AAA9BD9" w:rsidR="00812F19" w:rsidRDefault="00812F19" w:rsidP="00011D9B">
      <w:pPr>
        <w:spacing w:before="120"/>
        <w:jc w:val="center"/>
        <w:rPr>
          <w:sz w:val="20"/>
          <w:szCs w:val="20"/>
        </w:rPr>
      </w:pPr>
    </w:p>
    <w:p w14:paraId="4CA41B1D" w14:textId="78326A2C" w:rsidR="00DD66D2" w:rsidRPr="00140A82" w:rsidRDefault="00DD66D2" w:rsidP="00011D9B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201504" wp14:editId="41A3F995">
            <wp:extent cx="1548221" cy="14521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21" cy="14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6D2" w:rsidRPr="00140A82" w:rsidSect="00DD6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30012" w14:textId="77777777" w:rsidR="00D90F62" w:rsidRDefault="00D90F62" w:rsidP="00140A82">
      <w:r>
        <w:separator/>
      </w:r>
    </w:p>
  </w:endnote>
  <w:endnote w:type="continuationSeparator" w:id="0">
    <w:p w14:paraId="08338F06" w14:textId="77777777" w:rsidR="00D90F62" w:rsidRDefault="00D90F62" w:rsidP="0014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72DF" w14:textId="77777777" w:rsidR="00DD66D2" w:rsidRDefault="00DD6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7057" w14:textId="77777777" w:rsidR="00812F19" w:rsidRPr="00140A82" w:rsidRDefault="00812F19" w:rsidP="00140A8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5508"/>
      <w:gridCol w:w="4932"/>
    </w:tblGrid>
    <w:tr w:rsidR="00DD66D2" w14:paraId="32F7FE55" w14:textId="77777777" w:rsidTr="00DC2643">
      <w:tc>
        <w:tcPr>
          <w:tcW w:w="2638" w:type="pct"/>
        </w:tcPr>
        <w:p w14:paraId="19DC7C21" w14:textId="77777777" w:rsidR="00DD66D2" w:rsidRDefault="00DD66D2" w:rsidP="00DC2643">
          <w:pPr>
            <w:pStyle w:val="Footer"/>
            <w:spacing w:before="60"/>
            <w:jc w:val="right"/>
            <w:rPr>
              <w:lang w:bidi="x-none"/>
            </w:rPr>
          </w:pPr>
          <w:r>
            <w:rPr>
              <w:noProof/>
              <w:color w:val="000080"/>
              <w:sz w:val="16"/>
            </w:rPr>
            <w:drawing>
              <wp:inline distT="0" distB="0" distL="0" distR="0" wp14:anchorId="6EE4CE41" wp14:editId="5AC98979">
                <wp:extent cx="2431415" cy="574675"/>
                <wp:effectExtent l="25400" t="25400" r="32385" b="34925"/>
                <wp:docPr id="2" name="Picture 2" descr="N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1415" cy="5746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pct"/>
        </w:tcPr>
        <w:p w14:paraId="3A92B224" w14:textId="77777777" w:rsidR="00DD66D2" w:rsidRPr="00A950F9" w:rsidRDefault="00DD66D2" w:rsidP="00DC2643">
          <w:pPr>
            <w:pStyle w:val="Footer"/>
            <w:spacing w:before="60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Erbin Crowell, Executive Director</w:t>
          </w:r>
        </w:p>
        <w:p w14:paraId="28C8D2BD" w14:textId="77777777" w:rsidR="00DD66D2" w:rsidRPr="00A950F9" w:rsidRDefault="00DD66D2" w:rsidP="00DC2643">
          <w:pPr>
            <w:pStyle w:val="Footer"/>
            <w:rPr>
              <w:rFonts w:ascii="Candara" w:hAnsi="Candara"/>
              <w:b/>
              <w:color w:val="00008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0080"/>
              <w:sz w:val="16"/>
              <w:lang w:bidi="x-none"/>
            </w:rPr>
            <w:t>Neighboring Food Co-op Association</w:t>
          </w:r>
        </w:p>
        <w:p w14:paraId="3B497753" w14:textId="77777777" w:rsidR="00DD66D2" w:rsidRPr="00A950F9" w:rsidRDefault="00DD66D2" w:rsidP="00DC2643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PO Box 93, Shelburne Falls, MA 01370-0093 USA</w:t>
          </w:r>
        </w:p>
        <w:p w14:paraId="0C737CC1" w14:textId="77777777" w:rsidR="00DD66D2" w:rsidRPr="00A950F9" w:rsidRDefault="00DD66D2" w:rsidP="00DC2643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c: 401-419-0381   •   f: 413-625-3061</w:t>
          </w:r>
        </w:p>
        <w:p w14:paraId="4585A42C" w14:textId="77777777" w:rsidR="00DD66D2" w:rsidRDefault="00DD66D2" w:rsidP="00DC2643">
          <w:pPr>
            <w:pStyle w:val="Footer"/>
            <w:rPr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e: erbin@nfca.coop  •   w: www.nfca.coop</w:t>
          </w:r>
        </w:p>
      </w:tc>
    </w:tr>
  </w:tbl>
  <w:p w14:paraId="6226DBD4" w14:textId="77777777" w:rsidR="00DD66D2" w:rsidRPr="00DD66D2" w:rsidRDefault="00DD66D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9A31" w14:textId="77777777" w:rsidR="00D90F62" w:rsidRDefault="00D90F62" w:rsidP="00140A82">
      <w:r>
        <w:separator/>
      </w:r>
    </w:p>
  </w:footnote>
  <w:footnote w:type="continuationSeparator" w:id="0">
    <w:p w14:paraId="04D9E666" w14:textId="77777777" w:rsidR="00D90F62" w:rsidRDefault="00D90F62" w:rsidP="0014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3841" w14:textId="77777777" w:rsidR="00DD66D2" w:rsidRDefault="00DD6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8996" w14:textId="77777777" w:rsidR="00DD66D2" w:rsidRDefault="00DD6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6C4A" w14:textId="77777777" w:rsidR="00DD66D2" w:rsidRDefault="00DD6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6FD0"/>
    <w:multiLevelType w:val="hybridMultilevel"/>
    <w:tmpl w:val="BD921910"/>
    <w:lvl w:ilvl="0" w:tplc="BF50E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2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4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4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E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72"/>
    <w:rsid w:val="0000378E"/>
    <w:rsid w:val="00011D9B"/>
    <w:rsid w:val="000A23A2"/>
    <w:rsid w:val="000B2939"/>
    <w:rsid w:val="000D0E2B"/>
    <w:rsid w:val="000E77F7"/>
    <w:rsid w:val="001036E8"/>
    <w:rsid w:val="001230E5"/>
    <w:rsid w:val="00140A82"/>
    <w:rsid w:val="00166A99"/>
    <w:rsid w:val="001C1489"/>
    <w:rsid w:val="001D3F70"/>
    <w:rsid w:val="001D6826"/>
    <w:rsid w:val="001E1670"/>
    <w:rsid w:val="00240E16"/>
    <w:rsid w:val="00245B85"/>
    <w:rsid w:val="00297FA4"/>
    <w:rsid w:val="00317B73"/>
    <w:rsid w:val="00326921"/>
    <w:rsid w:val="003412BF"/>
    <w:rsid w:val="00342E9F"/>
    <w:rsid w:val="003535BC"/>
    <w:rsid w:val="00354A22"/>
    <w:rsid w:val="003A00B2"/>
    <w:rsid w:val="003E3A0A"/>
    <w:rsid w:val="003F7F84"/>
    <w:rsid w:val="004277DF"/>
    <w:rsid w:val="004446BA"/>
    <w:rsid w:val="00444D1F"/>
    <w:rsid w:val="00453B08"/>
    <w:rsid w:val="004606D4"/>
    <w:rsid w:val="00466FB6"/>
    <w:rsid w:val="00481945"/>
    <w:rsid w:val="00493C11"/>
    <w:rsid w:val="004F4DED"/>
    <w:rsid w:val="00522D8B"/>
    <w:rsid w:val="005676E2"/>
    <w:rsid w:val="005A5C01"/>
    <w:rsid w:val="005D48FA"/>
    <w:rsid w:val="00611812"/>
    <w:rsid w:val="0061298A"/>
    <w:rsid w:val="0062109E"/>
    <w:rsid w:val="00646398"/>
    <w:rsid w:val="00660EB7"/>
    <w:rsid w:val="00662B14"/>
    <w:rsid w:val="00672C6C"/>
    <w:rsid w:val="00682299"/>
    <w:rsid w:val="006C452A"/>
    <w:rsid w:val="006E0E96"/>
    <w:rsid w:val="007007C3"/>
    <w:rsid w:val="00762246"/>
    <w:rsid w:val="007A6B98"/>
    <w:rsid w:val="007B63B7"/>
    <w:rsid w:val="00812F19"/>
    <w:rsid w:val="00833777"/>
    <w:rsid w:val="0084123D"/>
    <w:rsid w:val="00850AE5"/>
    <w:rsid w:val="00855350"/>
    <w:rsid w:val="008554DC"/>
    <w:rsid w:val="008E583B"/>
    <w:rsid w:val="009014D5"/>
    <w:rsid w:val="00953A27"/>
    <w:rsid w:val="00971B72"/>
    <w:rsid w:val="009907D9"/>
    <w:rsid w:val="009B246F"/>
    <w:rsid w:val="00A2605E"/>
    <w:rsid w:val="00A56078"/>
    <w:rsid w:val="00A5693F"/>
    <w:rsid w:val="00A635FC"/>
    <w:rsid w:val="00A65981"/>
    <w:rsid w:val="00B423AE"/>
    <w:rsid w:val="00B60E55"/>
    <w:rsid w:val="00B8426D"/>
    <w:rsid w:val="00C21EB1"/>
    <w:rsid w:val="00C56FE7"/>
    <w:rsid w:val="00C60628"/>
    <w:rsid w:val="00C6189F"/>
    <w:rsid w:val="00C76980"/>
    <w:rsid w:val="00CA4833"/>
    <w:rsid w:val="00D05682"/>
    <w:rsid w:val="00D130A5"/>
    <w:rsid w:val="00D90F62"/>
    <w:rsid w:val="00D9646E"/>
    <w:rsid w:val="00DA2EA7"/>
    <w:rsid w:val="00DB79DB"/>
    <w:rsid w:val="00DD66D2"/>
    <w:rsid w:val="00DF36EF"/>
    <w:rsid w:val="00DF5672"/>
    <w:rsid w:val="00EB0457"/>
    <w:rsid w:val="00EE1A32"/>
    <w:rsid w:val="00F3609A"/>
    <w:rsid w:val="00F9656E"/>
    <w:rsid w:val="00FC04CB"/>
    <w:rsid w:val="00FC40E3"/>
    <w:rsid w:val="00FD202E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489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4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8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4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a.coo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2</cp:revision>
  <cp:lastPrinted>2012-11-26T20:14:00Z</cp:lastPrinted>
  <dcterms:created xsi:type="dcterms:W3CDTF">2012-11-28T14:52:00Z</dcterms:created>
  <dcterms:modified xsi:type="dcterms:W3CDTF">2012-11-28T14:52:00Z</dcterms:modified>
</cp:coreProperties>
</file>